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Tema: La Iglesia celebra las maravillas de Dios en el año litúrgico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docente: 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Área: Religón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Competencia/estándar/DBA: Comprende que los cristianos celebran la presencia amorosa de Jesús a través de las fiestas Religiosas.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Establecer criterios o patrones de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clasificación de las fiestas y celebraciones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Interpreta el sentido y la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significación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de las fiestas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Muestra interés por el papel que la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religión juega en la vida cotidiana.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 QUE SÉ: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¿Que celebraciones conoces que realiza la iglesia hacia Dios? 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APRENDIENDO: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Estas celebraciones son un recorrido por los principales hechos de la vida de Jesús desde su nacimiento hasta después de su resurrección.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Estas celebraciones se realizan, ya que, nosotros tenemos muchos motivos para alabar y celebrar las bondades del Señor y nos sirven para afirmar nuestra fe.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Practicando: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Teniendo en cuenta tu religión </w:t>
      </w:r>
      <w:r w:rsidDel="00000000" w:rsidR="00000000" w:rsidRPr="00000000">
        <w:rPr>
          <w:rtl w:val="0"/>
        </w:rPr>
        <w:t xml:space="preserve">haz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una lista de todas las celebraciones que realizan, cada una con su dibujo correspondiente.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RECURSOS: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Información de los padres, imágenes de las celebraciones y la asistencia a las celebraciones religiosas.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4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GASYFFij+s4g6m4RGuZP6oAdA==">AMUW2mUfsfqOHnxAv12gh28m3J9Vg76tSyaPtjUfWja9PIBoT+qaprKsmJt9K8jq3loe3f1K5w+dNFxTn7Kj+OVVZijZtpzKyqjPNb3q2LCYEV6TS+5Oims=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2020-03-27T16:10:00Z</dcterms:created>
  <dc:creator>BEATRIZ</dc:creator>
</cp:coreProperties>
</file>